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3A41E3" w:rsidRPr="005D0258" w14:paraId="7FDB0543" w14:textId="77777777" w:rsidTr="002E0E2F"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5F5AB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2540C5" w14:textId="77777777" w:rsidR="003A41E3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center"/>
              <w:rPr>
                <w:rFonts w:ascii="Times" w:hAnsi="Times" w:cs="Times"/>
                <w:b/>
                <w:bCs/>
                <w:sz w:val="28"/>
                <w:szCs w:val="32"/>
              </w:rPr>
            </w:pPr>
          </w:p>
          <w:p w14:paraId="00327D9E" w14:textId="77777777" w:rsidR="008D369F" w:rsidRDefault="008D369F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center"/>
              <w:rPr>
                <w:rFonts w:ascii="Times" w:hAnsi="Times" w:cs="Times"/>
                <w:b/>
                <w:bCs/>
                <w:sz w:val="28"/>
                <w:szCs w:val="32"/>
              </w:rPr>
            </w:pPr>
          </w:p>
          <w:p w14:paraId="56FA5B92" w14:textId="458CF5F5" w:rsidR="008D369F" w:rsidRDefault="00932C67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center"/>
              <w:rPr>
                <w:rFonts w:ascii="Times" w:hAnsi="Times" w:cs="Times"/>
                <w:sz w:val="28"/>
                <w:szCs w:val="32"/>
              </w:rPr>
            </w:pPr>
            <w:hyperlink r:id="rId4" w:history="1">
              <w:r w:rsidR="008D369F" w:rsidRPr="00A205A6">
                <w:rPr>
                  <w:rStyle w:val="Hyperlink"/>
                  <w:rFonts w:ascii="Times" w:hAnsi="Times" w:cs="Times"/>
                  <w:sz w:val="28"/>
                  <w:szCs w:val="32"/>
                </w:rPr>
                <w:t>http://www.who.int/director-general/speeches/2001/english/20010129_davosunequaldistr.en.html</w:t>
              </w:r>
            </w:hyperlink>
          </w:p>
          <w:p w14:paraId="07987C08" w14:textId="0DCEF0D9" w:rsidR="008D369F" w:rsidRPr="005D0258" w:rsidRDefault="008D369F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center"/>
              <w:rPr>
                <w:rFonts w:ascii="Times" w:hAnsi="Times" w:cs="Times"/>
                <w:sz w:val="28"/>
                <w:szCs w:val="32"/>
              </w:rPr>
            </w:pPr>
          </w:p>
        </w:tc>
      </w:tr>
      <w:tr w:rsidR="003A41E3" w:rsidRPr="005D0258" w14:paraId="2B8EEE11" w14:textId="77777777" w:rsidTr="002E0E2F">
        <w:tblPrEx>
          <w:tblBorders>
            <w:top w:val="none" w:sz="0" w:space="0" w:color="auto"/>
          </w:tblBorders>
        </w:tblPrEx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4FB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65CAB0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Mr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Smadja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,</w:t>
            </w:r>
          </w:p>
          <w:p w14:paraId="2C1D726B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President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Chissano,</w:t>
            </w:r>
          </w:p>
          <w:p w14:paraId="00BB3A5B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>Mr Soros,</w:t>
            </w:r>
          </w:p>
          <w:p w14:paraId="29BA737A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b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Mr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Malloch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Brown,</w:t>
            </w:r>
          </w:p>
          <w:p w14:paraId="70ECCE8F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Mr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Bryer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,</w:t>
            </w:r>
          </w:p>
          <w:p w14:paraId="47BD34FA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>Ladies and Gentlemen,</w:t>
            </w:r>
          </w:p>
          <w:p w14:paraId="40A64824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Unless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can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make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globalization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work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interests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all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will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foster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spread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illness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modern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world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bacteria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viruses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travel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almost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fast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money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globalization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, 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single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microbial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sea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washes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all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humankind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There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are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no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sanctuaries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.</w:t>
            </w:r>
          </w:p>
          <w:p w14:paraId="462A6771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The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separation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between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domestic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international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problems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longer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useful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over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two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million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people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cross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international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borders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every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single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day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tenth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humanity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each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year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63CF3623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not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only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infectious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spread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globalization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Changes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lifestyle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diet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prompt an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increase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heart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diabetes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cancer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More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anything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tobacco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sweeping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globe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criss-crossed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market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forces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Only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weeks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after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socialist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economies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Europe and Asia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opened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up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Western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goods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capital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camels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cowboys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began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appear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on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buildings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billboards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1F5CBF9F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growth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tobacco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goes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unchecked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numbers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deaths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related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will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nearly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lastRenderedPageBreak/>
              <w:t>triple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from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four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million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each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year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today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10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million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each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year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thirty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years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Practically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entire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growth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tobacco-related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mortality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more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70%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million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deaths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will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take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place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developing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countries.</w:t>
            </w:r>
          </w:p>
          <w:p w14:paraId="4430079C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B6629A">
              <w:rPr>
                <w:rFonts w:ascii="Times" w:hAnsi="Times" w:cs="Times"/>
                <w:sz w:val="28"/>
                <w:szCs w:val="32"/>
                <w:lang w:val="en-US"/>
              </w:rPr>
              <w:t xml:space="preserve">Clearly, globalization does not </w:t>
            </w:r>
            <w:r w:rsidRPr="00B6629A">
              <w:rPr>
                <w:rFonts w:ascii="Times" w:hAnsi="Times" w:cs="Times"/>
                <w:i/>
                <w:iCs/>
                <w:sz w:val="28"/>
                <w:szCs w:val="32"/>
                <w:lang w:val="en-US"/>
              </w:rPr>
              <w:t xml:space="preserve">have </w:t>
            </w:r>
            <w:r w:rsidRPr="00B6629A">
              <w:rPr>
                <w:rFonts w:ascii="Times" w:hAnsi="Times" w:cs="Times"/>
                <w:sz w:val="28"/>
                <w:szCs w:val="32"/>
                <w:lang w:val="en-US"/>
              </w:rPr>
              <w:t xml:space="preserve">to lead to human insecurity because of the spread of illness. 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Nor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does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i/>
                <w:iCs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contribute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inequity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Forces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globalization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channelled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so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lead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more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just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equitable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society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01A0C524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need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define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key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global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public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goods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: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Together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need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identify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areas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which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production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dissemination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essential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goods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at 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reasonable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price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cannot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assured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through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normal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market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forces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.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field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includes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essential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vaccines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diagnostics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,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medications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.</w:t>
            </w:r>
          </w:p>
          <w:p w14:paraId="0FB7A4E9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need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identify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instances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when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globalization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leads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an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undesirable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impact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: 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This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mean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putting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forward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international</w:t>
            </w:r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regulation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global negatives. 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field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already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progressing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-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through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ongoing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political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legal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negotiations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 International Framework Convention on Tobacco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control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133E4648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know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suffer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disproportionately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from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ravages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communicable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In 1998,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communicable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responsible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about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34%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total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burden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world-wide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but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nearly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twice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- 64% -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among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fifth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population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living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countries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lowest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per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capita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income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Most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prevented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easily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cured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available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vaccines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drugs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but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countries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people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do not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access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them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571AE9A5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know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HIV/AIDS, TB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malaria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themselves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major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i/>
                <w:iCs/>
                <w:sz w:val="28"/>
                <w:szCs w:val="32"/>
              </w:rPr>
              <w:t>causes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poverty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The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success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failure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our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collective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response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threats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critical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holds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key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economic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physical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security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- not just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individuals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communities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- but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nations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continents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3E824AF3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HIV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prevalence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rates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10-15% -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which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longer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uncommon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-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translate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reduction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growth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rate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GDP per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capita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up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1% per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year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TB,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which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made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HIV,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takes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economic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toll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equivalent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$12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billion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dollars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from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incomes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communities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278232EE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Africa's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GDP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probably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about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$100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billion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more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now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malaria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tackled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30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years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ago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when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effective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control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measures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first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became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available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48E8A875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So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focus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on</w:t>
            </w:r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how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forces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globalization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can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harnessed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bring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benefits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poorer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people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within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>between</w:t>
            </w:r>
            <w:proofErr w:type="spellEnd"/>
            <w:r w:rsidRPr="005D0258">
              <w:rPr>
                <w:rFonts w:ascii="Times" w:hAnsi="Times" w:cs="Times"/>
                <w:b/>
                <w:bCs/>
                <w:sz w:val="28"/>
                <w:szCs w:val="32"/>
              </w:rPr>
              <w:t xml:space="preserve"> countries.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great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gaps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filled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but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doable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achieve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scale-up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resources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very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urgently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needed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20935BBC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increasing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political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consensus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behind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equity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manifested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through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international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development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targets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built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up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recent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Summits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backed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recent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G8-G77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focus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on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addressing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key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diseases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poverty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5032FCDC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Colleagues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,</w:t>
            </w:r>
            <w:r w:rsidR="002E0E2F"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At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same time,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see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a vital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need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continuing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involvement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private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sector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civil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society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organizations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this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process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This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why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idea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 global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initiative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launched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Most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companies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care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about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their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workforces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communities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whom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work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those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whom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interact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throughout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4F1B5B4A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Some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companies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already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given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higher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priority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people's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within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initiatives.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contribute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polio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eradication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through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Rotary Movement;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elimination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leprosy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through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Novartis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Sasakawa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Foundations and Merck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control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river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blindness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through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Mectizan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programme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6789F7C7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contribute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childhood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immunization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under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umbrella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GAVI, a Global Alliance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launched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World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Economic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Forum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January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2000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critical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backing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 xml:space="preserve">Gates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Foundation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  <w:highlight w:val="green"/>
              </w:rPr>
              <w:t>.</w:t>
            </w:r>
          </w:p>
          <w:p w14:paraId="32F37B97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By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joining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partnerships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- like Roll Back Malaria, GAVI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Stop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TB -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companies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support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adoption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tried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tested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strategies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communities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affected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illness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focus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on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results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Take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example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ENI,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working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government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civil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society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Azerbaijan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helping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people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reduce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risk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malaria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infection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increasing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access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effective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treatment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41D911B8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Many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companies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now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joined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movements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reduce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risk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HIV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infection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enable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people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living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with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HIV and AIDS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access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care. The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companies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established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Business Council on HIV-AIDS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set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 powerful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example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encouraging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individual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collective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advocacy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sharing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practices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3F898CB8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Much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more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done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companies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commit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themselves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global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work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together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using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practices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1AE8569F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Companies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make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greater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contribution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improving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world's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poorest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people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A Forum Initiative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lead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much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needed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scaling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up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effective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action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do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providing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umbrella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building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on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many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actions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currently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under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way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5E4FDB31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certainly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provide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excellent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opportunity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sharing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good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corporate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practice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3898C0F1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also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inspire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 wider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corporate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involvement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public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policy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572EA4BB" w14:textId="77777777" w:rsidR="002E0E2F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rFonts w:ascii="Times" w:hAnsi="Times" w:cs="Times"/>
                <w:sz w:val="28"/>
                <w:szCs w:val="32"/>
              </w:rPr>
              <w:t xml:space="preserve">I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would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happy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WHO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support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esta</w:t>
            </w:r>
            <w:r w:rsidR="002E0E2F" w:rsidRPr="005D0258">
              <w:rPr>
                <w:rFonts w:ascii="Times" w:hAnsi="Times" w:cs="Times"/>
                <w:sz w:val="28"/>
                <w:szCs w:val="32"/>
              </w:rPr>
              <w:t>blishment</w:t>
            </w:r>
            <w:proofErr w:type="spellEnd"/>
            <w:r w:rsidR="002E0E2F"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="002E0E2F"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="002E0E2F" w:rsidRPr="005D0258">
              <w:rPr>
                <w:rFonts w:ascii="Times" w:hAnsi="Times" w:cs="Times"/>
                <w:sz w:val="28"/>
                <w:szCs w:val="32"/>
              </w:rPr>
              <w:t xml:space="preserve"> such an initiative.</w:t>
            </w:r>
          </w:p>
          <w:p w14:paraId="33728934" w14:textId="77777777" w:rsidR="002E0E2F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Colleagues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,</w:t>
            </w:r>
            <w:r w:rsidR="002E0E2F"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5D0258">
              <w:rPr>
                <w:rFonts w:ascii="Times" w:hAnsi="Times" w:cs="Times"/>
                <w:sz w:val="28"/>
                <w:szCs w:val="32"/>
              </w:rPr>
              <w:t xml:space="preserve">As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have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heard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world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has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set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major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goals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for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equity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health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can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fulfilled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result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will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significant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reductions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in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levels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of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poverty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. But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to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do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this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we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need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sustained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partnerships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between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the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public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private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sectors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,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based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on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shared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values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and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strategies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  <w:p w14:paraId="4C065F9D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320"/>
              <w:ind w:left="142" w:right="585"/>
              <w:jc w:val="both"/>
              <w:rPr>
                <w:rFonts w:ascii="Times" w:hAnsi="Times" w:cs="Times"/>
                <w:sz w:val="28"/>
                <w:szCs w:val="32"/>
              </w:rPr>
            </w:pP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Thank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 xml:space="preserve"> </w:t>
            </w:r>
            <w:proofErr w:type="spellStart"/>
            <w:r w:rsidRPr="005D0258">
              <w:rPr>
                <w:rFonts w:ascii="Times" w:hAnsi="Times" w:cs="Times"/>
                <w:sz w:val="28"/>
                <w:szCs w:val="32"/>
              </w:rPr>
              <w:t>you</w:t>
            </w:r>
            <w:proofErr w:type="spellEnd"/>
            <w:r w:rsidRPr="005D0258">
              <w:rPr>
                <w:rFonts w:ascii="Times" w:hAnsi="Times" w:cs="Times"/>
                <w:sz w:val="28"/>
                <w:szCs w:val="32"/>
              </w:rPr>
              <w:t>.</w:t>
            </w:r>
          </w:p>
        </w:tc>
      </w:tr>
      <w:tr w:rsidR="003A41E3" w:rsidRPr="005D0258" w14:paraId="00CA18E2" w14:textId="77777777" w:rsidTr="002E0E2F"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4FC876" w14:textId="77777777" w:rsidR="003A41E3" w:rsidRPr="005D0258" w:rsidRDefault="00932C67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hyperlink r:id="rId5" w:history="1"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 xml:space="preserve">Return </w:t>
              </w:r>
              <w:proofErr w:type="spellStart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>to</w:t>
              </w:r>
              <w:proofErr w:type="spellEnd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 xml:space="preserve"> </w:t>
              </w:r>
              <w:proofErr w:type="spellStart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>Director-General's</w:t>
              </w:r>
              <w:proofErr w:type="spellEnd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 xml:space="preserve"> </w:t>
              </w:r>
              <w:proofErr w:type="spellStart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>main</w:t>
              </w:r>
              <w:proofErr w:type="spellEnd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 xml:space="preserve"> </w:t>
              </w:r>
              <w:proofErr w:type="spellStart"/>
              <w:r w:rsidR="003A41E3" w:rsidRPr="005D0258">
                <w:rPr>
                  <w:rFonts w:ascii="Arial" w:hAnsi="Arial" w:cs="Arial"/>
                  <w:color w:val="0020E3"/>
                  <w:sz w:val="18"/>
                  <w:szCs w:val="20"/>
                  <w:u w:val="single" w:color="0020E3"/>
                </w:rPr>
                <w:t>page</w:t>
              </w:r>
              <w:proofErr w:type="spellEnd"/>
            </w:hyperlink>
          </w:p>
        </w:tc>
      </w:tr>
      <w:tr w:rsidR="003A41E3" w:rsidRPr="005D0258" w14:paraId="4E0B2A57" w14:textId="77777777"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29288" w14:textId="77777777" w:rsidR="008D369F" w:rsidRDefault="008D369F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</w:p>
          <w:p w14:paraId="5891021E" w14:textId="77777777" w:rsidR="003A41E3" w:rsidRPr="005D0258" w:rsidRDefault="003A41E3" w:rsidP="002E0E2F">
            <w:pPr>
              <w:widowControl w:val="0"/>
              <w:autoSpaceDE w:val="0"/>
              <w:autoSpaceDN w:val="0"/>
              <w:adjustRightInd w:val="0"/>
              <w:spacing w:after="0"/>
              <w:ind w:left="142" w:right="585"/>
              <w:rPr>
                <w:rFonts w:ascii="Times" w:hAnsi="Times" w:cs="Times"/>
                <w:sz w:val="28"/>
                <w:szCs w:val="32"/>
              </w:rPr>
            </w:pPr>
            <w:r w:rsidRPr="005D0258">
              <w:rPr>
                <w:noProof/>
                <w:sz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1F1A73B" wp14:editId="0EA96D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2540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B5F129" w14:textId="77777777" w:rsidR="001C6C42" w:rsidRPr="005D0258" w:rsidRDefault="001C6C42" w:rsidP="002E0E2F">
      <w:pPr>
        <w:ind w:left="142"/>
        <w:rPr>
          <w:sz w:val="22"/>
        </w:rPr>
      </w:pPr>
    </w:p>
    <w:sectPr w:rsidR="001C6C42" w:rsidRPr="005D0258" w:rsidSect="002E0E2F">
      <w:pgSz w:w="1684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E3"/>
    <w:rsid w:val="001C6C42"/>
    <w:rsid w:val="00226102"/>
    <w:rsid w:val="002E0E2F"/>
    <w:rsid w:val="003A41E3"/>
    <w:rsid w:val="005D0258"/>
    <w:rsid w:val="007E1A8B"/>
    <w:rsid w:val="008D369F"/>
    <w:rsid w:val="00B66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AD0B0"/>
  <w15:docId w15:val="{0D8AAEFA-4234-C346-8996-C0E5E641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A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369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6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who.int/director-general/" TargetMode="External"/><Relationship Id="rId4" Type="http://schemas.openxmlformats.org/officeDocument/2006/relationships/hyperlink" Target="http://www.who.int/director-general/speeches/2001/english/20010129_davosunequaldistr.en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5835</Characters>
  <Application>Microsoft Office Word</Application>
  <DocSecurity>0</DocSecurity>
  <Lines>48</Lines>
  <Paragraphs>13</Paragraphs>
  <ScaleCrop>false</ScaleCrop>
  <Company>Mitglied des Deutschen Bundestages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Wodarg Dr. Wolfgang</dc:creator>
  <cp:keywords/>
  <dc:description/>
  <cp:lastModifiedBy>Wolfgang Wodarg</cp:lastModifiedBy>
  <cp:revision>3</cp:revision>
  <dcterms:created xsi:type="dcterms:W3CDTF">2022-04-19T08:04:00Z</dcterms:created>
  <dcterms:modified xsi:type="dcterms:W3CDTF">2022-04-19T08:04:00Z</dcterms:modified>
</cp:coreProperties>
</file>